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捐赠协议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捐赠方（甲方）：</w:t>
      </w:r>
      <w:r>
        <w:rPr>
          <w:rFonts w:asciiTheme="minorEastAsia" w:hAnsiTheme="minorEastAsia" w:eastAsiaTheme="minorEastAsia"/>
          <w:b/>
          <w:sz w:val="24"/>
          <w:szCs w:val="24"/>
        </w:rPr>
        <w:t xml:space="preserve"> 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受赠方（乙方）：</w:t>
      </w:r>
      <w:r>
        <w:rPr>
          <w:rFonts w:hint="eastAsia" w:asciiTheme="minorEastAsia" w:hAnsiTheme="minorEastAsia" w:eastAsiaTheme="minorEastAsia"/>
          <w:sz w:val="24"/>
          <w:szCs w:val="24"/>
        </w:rPr>
        <w:t>北京师范大学教育基金会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甲方热心社会公益事业，为了推动北京师范大学教育事业的发展，依照《中华人民共和国公益事业捐赠法》、《中华人民共和国合同法》等相关法律法规，决定向北京师范大学捐赠。甲、乙双方就捐赠事宜达成以下协议：</w:t>
      </w:r>
    </w:p>
    <w:p>
      <w:pPr>
        <w:numPr>
          <w:ilvl w:val="0"/>
          <w:numId w:val="1"/>
        </w:numPr>
        <w:tabs>
          <w:tab w:val="left" w:pos="0"/>
          <w:tab w:val="left" w:pos="1125"/>
        </w:tabs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捐赠项目名称：</w:t>
      </w:r>
    </w:p>
    <w:p>
      <w:pPr>
        <w:tabs>
          <w:tab w:val="left" w:pos="0"/>
          <w:tab w:val="left" w:pos="1125"/>
        </w:tabs>
        <w:spacing w:line="360" w:lineRule="auto"/>
        <w:ind w:left="562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yellow"/>
          <w:u w:val="single"/>
          <w:lang w:eastAsia="zh-CN"/>
        </w:rPr>
        <w:t>大学名称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yellow"/>
          <w:u w:val="single"/>
          <w:lang w:val="en-US" w:eastAsia="zh-CN"/>
        </w:rPr>
        <w:t>/院系名称捐赠项目名称</w:t>
      </w:r>
    </w:p>
    <w:p>
      <w:pPr>
        <w:numPr>
          <w:ilvl w:val="0"/>
          <w:numId w:val="1"/>
        </w:numPr>
        <w:tabs>
          <w:tab w:val="left" w:pos="0"/>
          <w:tab w:val="left" w:pos="1125"/>
        </w:tabs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捐赠金额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甲方保证捐赠财产系其所有之合法财产，且有权捐赠乙方。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甲方自愿向乙方捐赠：现金：</w:t>
      </w:r>
      <w:r>
        <w:rPr>
          <w:rFonts w:hint="eastAsia" w:asciiTheme="minorEastAsia" w:hAnsiTheme="minorEastAsia" w:eastAsiaTheme="minorEastAsia"/>
          <w:sz w:val="24"/>
          <w:szCs w:val="24"/>
          <w:highlight w:val="yellow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>元</w:t>
      </w:r>
      <w:r>
        <w:rPr>
          <w:rFonts w:asciiTheme="minorEastAsia" w:hAnsiTheme="minorEastAsia" w:eastAsiaTheme="minorEastAsia"/>
          <w:sz w:val="24"/>
          <w:szCs w:val="24"/>
        </w:rPr>
        <w:t xml:space="preserve">;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（大写：</w:t>
      </w:r>
      <w:r>
        <w:rPr>
          <w:rFonts w:hint="eastAsia" w:asciiTheme="minorEastAsia" w:hAnsiTheme="minorEastAsia" w:eastAsiaTheme="minorEastAsia"/>
          <w:sz w:val="24"/>
          <w:szCs w:val="24"/>
          <w:highlight w:val="yellow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）（□非留本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□留本）</w:t>
      </w:r>
    </w:p>
    <w:p>
      <w:pPr>
        <w:numPr>
          <w:ilvl w:val="0"/>
          <w:numId w:val="1"/>
        </w:numPr>
        <w:tabs>
          <w:tab w:val="left" w:pos="0"/>
          <w:tab w:val="left" w:pos="1125"/>
        </w:tabs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捐赠财产的用途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捐赠财产用于</w:t>
      </w:r>
      <w:r>
        <w:rPr>
          <w:rFonts w:hint="eastAsia" w:asciiTheme="minorEastAsia" w:hAnsiTheme="minorEastAsia" w:eastAsiaTheme="minorEastAsia"/>
          <w:sz w:val="24"/>
          <w:szCs w:val="24"/>
          <w:highlight w:val="yellow"/>
          <w:u w:val="single"/>
          <w:lang w:eastAsia="zh-CN"/>
        </w:rPr>
        <w:t>大学名称</w:t>
      </w:r>
      <w:r>
        <w:rPr>
          <w:rFonts w:hint="eastAsia" w:asciiTheme="minorEastAsia" w:hAnsiTheme="minorEastAsia" w:eastAsiaTheme="minorEastAsia"/>
          <w:sz w:val="24"/>
          <w:szCs w:val="24"/>
          <w:highlight w:val="yellow"/>
          <w:u w:val="single"/>
          <w:lang w:val="en-US" w:eastAsia="zh-CN"/>
        </w:rPr>
        <w:t>/院系名称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：</w:t>
      </w:r>
    </w:p>
    <w:p>
      <w:pPr>
        <w:pStyle w:val="6"/>
        <w:tabs>
          <w:tab w:val="left" w:pos="1020"/>
        </w:tabs>
        <w:spacing w:line="360" w:lineRule="auto"/>
        <w:ind w:firstLine="480"/>
        <w:rPr>
          <w:rFonts w:asciiTheme="minorEastAsia" w:hAnsiTheme="minorEastAsia" w:eastAsiaTheme="minorEastAsia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0"/>
          <w:tab w:val="left" w:pos="1125"/>
        </w:tabs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支付方式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甲方于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>______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>______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>______</w:t>
      </w:r>
      <w:r>
        <w:rPr>
          <w:rFonts w:hint="eastAsia" w:asciiTheme="minorEastAsia" w:hAnsiTheme="minorEastAsia" w:eastAsiaTheme="minorEastAsia"/>
          <w:sz w:val="24"/>
          <w:szCs w:val="24"/>
        </w:rPr>
        <w:t>日前将捐赠款</w:t>
      </w:r>
      <w:r>
        <w:rPr>
          <w:rFonts w:hint="eastAsia" w:asciiTheme="minorEastAsia" w:hAnsiTheme="minorEastAsia" w:eastAsiaTheme="minorEastAsia"/>
          <w:sz w:val="24"/>
          <w:szCs w:val="24"/>
          <w:highlight w:val="yellow"/>
          <w:u w:val="single"/>
          <w:lang w:eastAsia="zh-CN"/>
        </w:rPr>
        <w:t>一次性</w:t>
      </w:r>
      <w:r>
        <w:rPr>
          <w:rFonts w:hint="eastAsia" w:asciiTheme="minorEastAsia" w:hAnsiTheme="minorEastAsia" w:eastAsiaTheme="minorEastAsia"/>
          <w:sz w:val="24"/>
          <w:szCs w:val="24"/>
        </w:rPr>
        <w:t>汇入北京师范大学教育基金会以下账户：</w:t>
      </w:r>
    </w:p>
    <w:p>
      <w:pPr>
        <w:spacing w:line="360" w:lineRule="auto"/>
        <w:ind w:left="424" w:leftChars="202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境内汇款：</w:t>
      </w:r>
    </w:p>
    <w:p>
      <w:pPr>
        <w:spacing w:line="360" w:lineRule="auto"/>
        <w:ind w:left="424" w:left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户名：北京师范大学教育基金会</w:t>
      </w:r>
    </w:p>
    <w:p>
      <w:pPr>
        <w:spacing w:line="360" w:lineRule="auto"/>
        <w:ind w:left="424" w:left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开户行：中国银行北京文慧园支行</w:t>
      </w:r>
    </w:p>
    <w:p>
      <w:pPr>
        <w:spacing w:line="360" w:lineRule="auto"/>
        <w:ind w:left="424" w:left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账号：</w:t>
      </w:r>
      <w:r>
        <w:rPr>
          <w:rFonts w:asciiTheme="minorEastAsia" w:hAnsiTheme="minorEastAsia" w:eastAsiaTheme="minorEastAsia"/>
          <w:sz w:val="24"/>
          <w:szCs w:val="24"/>
        </w:rPr>
        <w:t>3246 5601 5336</w:t>
      </w:r>
    </w:p>
    <w:p>
      <w:pPr>
        <w:spacing w:line="360" w:lineRule="auto"/>
        <w:ind w:left="424" w:leftChars="202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境外汇款：</w:t>
      </w:r>
    </w:p>
    <w:p>
      <w:pPr>
        <w:spacing w:line="360" w:lineRule="auto"/>
        <w:ind w:left="424" w:left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Bank name: Bank of China Beijing Branch</w:t>
      </w:r>
    </w:p>
    <w:p>
      <w:pPr>
        <w:spacing w:line="360" w:lineRule="auto"/>
        <w:ind w:left="424" w:left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Bank address: No.2 Chao yang men nei da jie, Dongcheng District, Beijing 100010, China</w:t>
      </w:r>
    </w:p>
    <w:p>
      <w:pPr>
        <w:spacing w:line="360" w:lineRule="auto"/>
        <w:ind w:left="424" w:left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A/C holder’s name: Beijing Normal University Education Foundation</w:t>
      </w:r>
    </w:p>
    <w:p>
      <w:pPr>
        <w:spacing w:line="360" w:lineRule="auto"/>
        <w:ind w:left="424" w:left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A/C No.USD: 3363 6367 3980</w:t>
      </w:r>
    </w:p>
    <w:p>
      <w:pPr>
        <w:spacing w:line="360" w:lineRule="auto"/>
        <w:ind w:firstLine="1320" w:firstLineChars="55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EUR: 3441 6367 3089</w:t>
      </w:r>
    </w:p>
    <w:p>
      <w:pPr>
        <w:spacing w:line="360" w:lineRule="auto"/>
        <w:ind w:firstLine="1320" w:firstLineChars="55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HKD: 3467 6367 3550</w:t>
      </w:r>
    </w:p>
    <w:p>
      <w:pPr>
        <w:spacing w:line="360" w:lineRule="auto"/>
        <w:ind w:left="424" w:leftChars="202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Swift code: BKCH CN BJ 110</w:t>
      </w:r>
    </w:p>
    <w:p>
      <w:pPr>
        <w:numPr>
          <w:ilvl w:val="0"/>
          <w:numId w:val="1"/>
        </w:numPr>
        <w:tabs>
          <w:tab w:val="left" w:pos="0"/>
          <w:tab w:val="left" w:pos="1125"/>
        </w:tabs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管理使用</w:t>
      </w:r>
    </w:p>
    <w:p>
      <w:pPr>
        <w:numPr>
          <w:ilvl w:val="1"/>
          <w:numId w:val="1"/>
        </w:numPr>
        <w:tabs>
          <w:tab w:val="left" w:pos="851"/>
        </w:tabs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乙方收到甲方捐赠财产后，应出具合法、有效的财务收据，并登记造册，妥善保管。乙方应确保捐赠财产专款专用。</w:t>
      </w:r>
    </w:p>
    <w:p>
      <w:pPr>
        <w:numPr>
          <w:ilvl w:val="1"/>
          <w:numId w:val="1"/>
        </w:numPr>
        <w:tabs>
          <w:tab w:val="left" w:pos="851"/>
        </w:tabs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甲方有权监督并向乙方查询捐赠财产的使用、管理情况，并提出意见和建议。对于甲方的查询，乙方应当如实答复。</w:t>
      </w:r>
    </w:p>
    <w:p>
      <w:pPr>
        <w:numPr>
          <w:ilvl w:val="0"/>
          <w:numId w:val="1"/>
        </w:numPr>
        <w:tabs>
          <w:tab w:val="left" w:pos="0"/>
          <w:tab w:val="left" w:pos="1125"/>
        </w:tabs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法律及争议解决</w:t>
      </w:r>
    </w:p>
    <w:p>
      <w:pPr>
        <w:numPr>
          <w:ilvl w:val="1"/>
          <w:numId w:val="1"/>
        </w:numPr>
        <w:tabs>
          <w:tab w:val="left" w:pos="851"/>
        </w:tabs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本捐赠为公益行为，旨在支持教育事业发展</w:t>
      </w:r>
      <w:r>
        <w:rPr>
          <w:rFonts w:asciiTheme="minorEastAsia" w:hAnsiTheme="minorEastAsia" w:eastAsiaTheme="minorEastAsia"/>
          <w:sz w:val="24"/>
          <w:szCs w:val="24"/>
        </w:rPr>
        <w:t>,</w:t>
      </w:r>
      <w:r>
        <w:rPr>
          <w:rFonts w:hint="eastAsia" w:asciiTheme="minorEastAsia" w:hAnsiTheme="minorEastAsia" w:eastAsiaTheme="minorEastAsia"/>
          <w:sz w:val="24"/>
          <w:szCs w:val="24"/>
        </w:rPr>
        <w:t>相关研究成果及知识产权为北京师范大学所有。本协议成立后不得撤销，受法律保护。</w:t>
      </w:r>
    </w:p>
    <w:p>
      <w:pPr>
        <w:numPr>
          <w:ilvl w:val="1"/>
          <w:numId w:val="1"/>
        </w:numPr>
        <w:tabs>
          <w:tab w:val="left" w:pos="851"/>
        </w:tabs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任何有关本协议的争议，应由双方友好协商解决。</w:t>
      </w:r>
    </w:p>
    <w:p>
      <w:pPr>
        <w:numPr>
          <w:ilvl w:val="0"/>
          <w:numId w:val="1"/>
        </w:numPr>
        <w:tabs>
          <w:tab w:val="left" w:pos="0"/>
          <w:tab w:val="left" w:pos="1125"/>
        </w:tabs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其他</w:t>
      </w:r>
    </w:p>
    <w:p>
      <w:pPr>
        <w:tabs>
          <w:tab w:val="left" w:pos="851"/>
        </w:tabs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本协议一式两份，甲乙各执壹份。经甲乙双方法定代表人（或授权代表）签字并加盖公章后生效，具有同等法律效力。</w:t>
      </w:r>
    </w:p>
    <w:p>
      <w:pPr>
        <w:tabs>
          <w:tab w:val="left" w:pos="851"/>
        </w:tabs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（以下无正文，为签字盖章页）</w:t>
      </w:r>
    </w:p>
    <w:p>
      <w:pPr>
        <w:jc w:val="center"/>
        <w:rPr>
          <w:rFonts w:hint="eastAsia"/>
          <w:sz w:val="24"/>
          <w:szCs w:val="24"/>
        </w:rPr>
      </w:pP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2"/>
        <w:gridCol w:w="44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2" w:type="dxa"/>
            <w:tcMar>
              <w:top w:w="0" w:type="dxa"/>
              <w:left w:w="108" w:type="dxa"/>
              <w:bottom w:w="0" w:type="dxa"/>
              <w:right w:w="278" w:type="dxa"/>
            </w:tcMar>
            <w:vAlign w:val="top"/>
          </w:tcPr>
          <w:p>
            <w:pPr>
              <w:suppressLineNumbers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甲方（盖章）：</w:t>
            </w:r>
          </w:p>
        </w:tc>
        <w:tc>
          <w:tcPr>
            <w:tcW w:w="4470" w:type="dxa"/>
            <w:tcMar>
              <w:top w:w="0" w:type="dxa"/>
              <w:left w:w="278" w:type="dxa"/>
              <w:bottom w:w="0" w:type="dxa"/>
              <w:right w:w="108" w:type="dxa"/>
            </w:tcMar>
            <w:vAlign w:val="top"/>
          </w:tcPr>
          <w:p>
            <w:pPr>
              <w:suppressLineNumbers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乙方（盖章）：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北京师范大学教育基金会</w:t>
            </w:r>
          </w:p>
          <w:p>
            <w:pPr>
              <w:suppressLineNumbers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2" w:type="dxa"/>
            <w:tcMar>
              <w:top w:w="0" w:type="dxa"/>
              <w:left w:w="108" w:type="dxa"/>
              <w:bottom w:w="0" w:type="dxa"/>
              <w:right w:w="278" w:type="dxa"/>
            </w:tcMar>
            <w:vAlign w:val="top"/>
          </w:tcPr>
          <w:p>
            <w:pPr>
              <w:suppressLineNumbers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授权代表（签字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uppressLineNumbers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470" w:type="dxa"/>
            <w:tcMar>
              <w:top w:w="0" w:type="dxa"/>
              <w:left w:w="278" w:type="dxa"/>
              <w:bottom w:w="0" w:type="dxa"/>
              <w:right w:w="108" w:type="dxa"/>
            </w:tcMar>
            <w:vAlign w:val="top"/>
          </w:tcPr>
          <w:p>
            <w:pPr>
              <w:suppressLineNumbers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授权代表（签字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52" w:type="dxa"/>
            <w:tcMar>
              <w:top w:w="0" w:type="dxa"/>
              <w:left w:w="108" w:type="dxa"/>
              <w:bottom w:w="0" w:type="dxa"/>
              <w:right w:w="278" w:type="dxa"/>
            </w:tcMar>
            <w:vAlign w:val="top"/>
          </w:tcPr>
          <w:p>
            <w:pPr>
              <w:suppressLineNumbers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    年   月   日</w:t>
            </w:r>
          </w:p>
        </w:tc>
        <w:tc>
          <w:tcPr>
            <w:tcW w:w="4470" w:type="dxa"/>
            <w:tcMar>
              <w:top w:w="0" w:type="dxa"/>
              <w:left w:w="278" w:type="dxa"/>
              <w:bottom w:w="0" w:type="dxa"/>
              <w:right w:w="108" w:type="dxa"/>
            </w:tcMar>
            <w:vAlign w:val="top"/>
          </w:tcPr>
          <w:p>
            <w:pPr>
              <w:suppressLineNumbers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    年   月   日</w:t>
            </w:r>
          </w:p>
          <w:p>
            <w:pPr>
              <w:suppressLineNumbers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480" w:lineRule="auto"/>
        <w:jc w:val="left"/>
        <w:outlineLvl w:val="0"/>
        <w:rPr>
          <w:rFonts w:asciiTheme="minorEastAsia" w:hAnsiTheme="minorEastAsia" w:eastAsiaTheme="minorEastAsia"/>
        </w:rPr>
      </w:pPr>
      <w:r>
        <w:rPr>
          <w:rFonts w:cs="宋体" w:asciiTheme="minorEastAsia" w:hAnsiTheme="minorEastAsia" w:eastAsiaTheme="minorEastAsia"/>
          <w:kern w:val="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2653"/>
    <w:multiLevelType w:val="multilevel"/>
    <w:tmpl w:val="4DEC2653"/>
    <w:lvl w:ilvl="0" w:tentative="0">
      <w:start w:val="1"/>
      <w:numFmt w:val="decimal"/>
      <w:lvlText w:val="%1."/>
      <w:lvlJc w:val="left"/>
      <w:pPr>
        <w:ind w:left="562" w:hanging="420"/>
      </w:pPr>
      <w:rPr>
        <w:rFonts w:cs="Times New Roman"/>
      </w:rPr>
    </w:lvl>
    <w:lvl w:ilvl="1" w:tentative="0">
      <w:start w:val="1"/>
      <w:numFmt w:val="decimal"/>
      <w:lvlText w:val="%2)"/>
      <w:lvlJc w:val="left"/>
      <w:pPr>
        <w:tabs>
          <w:tab w:val="left" w:pos="1247"/>
        </w:tabs>
        <w:ind w:left="1004" w:hanging="72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71"/>
    <w:rsid w:val="000431DE"/>
    <w:rsid w:val="000F704D"/>
    <w:rsid w:val="002536F0"/>
    <w:rsid w:val="002548CA"/>
    <w:rsid w:val="002906FA"/>
    <w:rsid w:val="002A384A"/>
    <w:rsid w:val="002C75E9"/>
    <w:rsid w:val="002D69CC"/>
    <w:rsid w:val="003310C5"/>
    <w:rsid w:val="00351A71"/>
    <w:rsid w:val="003A2391"/>
    <w:rsid w:val="004029FE"/>
    <w:rsid w:val="00442512"/>
    <w:rsid w:val="00477053"/>
    <w:rsid w:val="00506A68"/>
    <w:rsid w:val="005B417E"/>
    <w:rsid w:val="006558E9"/>
    <w:rsid w:val="006D2487"/>
    <w:rsid w:val="007A3DF0"/>
    <w:rsid w:val="007B02E2"/>
    <w:rsid w:val="008138C3"/>
    <w:rsid w:val="008142A1"/>
    <w:rsid w:val="008C6635"/>
    <w:rsid w:val="00916A42"/>
    <w:rsid w:val="009331C0"/>
    <w:rsid w:val="0095184A"/>
    <w:rsid w:val="0096254D"/>
    <w:rsid w:val="009E4B00"/>
    <w:rsid w:val="00A6533D"/>
    <w:rsid w:val="00A87ABB"/>
    <w:rsid w:val="00AB486E"/>
    <w:rsid w:val="00AB6B92"/>
    <w:rsid w:val="00AC3065"/>
    <w:rsid w:val="00AD0E3C"/>
    <w:rsid w:val="00AE5310"/>
    <w:rsid w:val="00B12E11"/>
    <w:rsid w:val="00BE075D"/>
    <w:rsid w:val="00BE768E"/>
    <w:rsid w:val="00CD3B92"/>
    <w:rsid w:val="00D27B41"/>
    <w:rsid w:val="00D506A2"/>
    <w:rsid w:val="00DC3941"/>
    <w:rsid w:val="00DF0EE7"/>
    <w:rsid w:val="00DF25FB"/>
    <w:rsid w:val="00E65F5A"/>
    <w:rsid w:val="00F06838"/>
    <w:rsid w:val="00F56766"/>
    <w:rsid w:val="00F62A43"/>
    <w:rsid w:val="00F8660B"/>
    <w:rsid w:val="165215F6"/>
    <w:rsid w:val="59110E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uiPriority w:val="99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BNUEF</Company>
  <Pages>1</Pages>
  <Words>158</Words>
  <Characters>902</Characters>
  <Lines>7</Lines>
  <Paragraphs>2</Paragraphs>
  <ScaleCrop>false</ScaleCrop>
  <LinksUpToDate>false</LinksUpToDate>
  <CharactersWithSpaces>1058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2016-03-14T09:16:00Z</dcterms:created>
  <dc:creator>王颖</dc:creator>
  <cp:lastModifiedBy>bnuef</cp:lastModifiedBy>
  <dcterms:modified xsi:type="dcterms:W3CDTF">2016-11-22T02:00:54Z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